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ind w:left="0" w:firstLine="0"/>
      </w:pPr>
    </w:p>
    <w:p>
      <w:pPr>
        <w:pStyle w:val="Body A"/>
      </w:pPr>
    </w:p>
    <w:p>
      <w:pPr>
        <w:pStyle w:val="Body A"/>
        <w:rPr>
          <w:lang w:val="en-US"/>
        </w:rPr>
      </w:pPr>
    </w:p>
    <w:p>
      <w:pPr>
        <w:pStyle w:val="Body A"/>
        <w:rPr>
          <w:lang w:val="en-US"/>
        </w:rPr>
      </w:pPr>
      <w:r>
        <w:rPr>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359168</wp:posOffset>
            </wp:positionV>
            <wp:extent cx="2765337" cy="368711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ristiana photo for CREW roster.png"/>
                    <pic:cNvPicPr>
                      <a:picLocks noChangeAspect="1"/>
                    </pic:cNvPicPr>
                  </pic:nvPicPr>
                  <pic:blipFill>
                    <a:blip r:embed="rId4">
                      <a:extLst/>
                    </a:blip>
                    <a:stretch>
                      <a:fillRect/>
                    </a:stretch>
                  </pic:blipFill>
                  <pic:spPr>
                    <a:xfrm>
                      <a:off x="0" y="0"/>
                      <a:ext cx="2765337" cy="3687115"/>
                    </a:xfrm>
                    <a:prstGeom prst="rect">
                      <a:avLst/>
                    </a:prstGeom>
                    <a:ln w="12700" cap="flat">
                      <a:noFill/>
                      <a:miter lim="400000"/>
                    </a:ln>
                    <a:effectLst/>
                  </pic:spPr>
                </pic:pic>
              </a:graphicData>
            </a:graphic>
          </wp:anchor>
        </w:drawing>
      </w:r>
    </w:p>
    <w:p>
      <w:pPr>
        <w:pStyle w:val="Body A"/>
        <w:rPr>
          <w:lang w:val="en-US"/>
        </w:rPr>
      </w:pPr>
    </w:p>
    <w:p>
      <w:pPr>
        <w:pStyle w:val="Body"/>
        <w:spacing w:after="200" w:line="276" w:lineRule="auto"/>
      </w:pPr>
      <w:r>
        <w:rPr>
          <w:rFonts w:ascii="Calibri" w:hAnsi="Calibri"/>
          <w:sz w:val="22"/>
          <w:szCs w:val="22"/>
          <w:rtl w:val="0"/>
          <w:lang w:val="en-US"/>
        </w:rPr>
        <w:t xml:space="preserve">CREW member Christiana Smith Shi says </w:t>
      </w:r>
      <w:r>
        <w:rPr>
          <w:rFonts w:ascii="Calibri" w:hAnsi="Calibri" w:hint="default"/>
          <w:sz w:val="22"/>
          <w:szCs w:val="22"/>
          <w:rtl w:val="0"/>
          <w:lang w:val="en-US"/>
        </w:rPr>
        <w:t>“</w:t>
      </w:r>
      <w:r>
        <w:rPr>
          <w:rFonts w:ascii="Calibri" w:hAnsi="Calibri"/>
          <w:sz w:val="22"/>
          <w:szCs w:val="22"/>
          <w:u w:color="ff0000"/>
          <w:rtl w:val="0"/>
          <w:lang w:val="en-US"/>
        </w:rPr>
        <w:t>My passion is help</w:t>
      </w:r>
      <w:r>
        <w:rPr>
          <w:rFonts w:ascii="Calibri" w:hAnsi="Calibri"/>
          <w:sz w:val="22"/>
          <w:szCs w:val="22"/>
          <w:u w:color="ff0000"/>
          <w:rtl w:val="0"/>
          <w:lang w:val="en-US"/>
        </w:rPr>
        <w:t>ing</w:t>
      </w:r>
      <w:r>
        <w:rPr>
          <w:rFonts w:ascii="Calibri" w:hAnsi="Calibri"/>
          <w:sz w:val="22"/>
          <w:szCs w:val="22"/>
          <w:u w:color="ff0000"/>
          <w:rtl w:val="0"/>
          <w:lang w:val="en-US"/>
        </w:rPr>
        <w:t xml:space="preserve"> women and child thrive </w:t>
      </w:r>
      <w:r>
        <w:rPr>
          <w:rFonts w:ascii="Calibri" w:hAnsi="Calibri" w:hint="default"/>
          <w:sz w:val="22"/>
          <w:szCs w:val="22"/>
          <w:u w:color="ff0000"/>
          <w:rtl w:val="0"/>
        </w:rPr>
        <w:t xml:space="preserve">– </w:t>
      </w:r>
      <w:r>
        <w:rPr>
          <w:rFonts w:ascii="Calibri" w:hAnsi="Calibri"/>
          <w:sz w:val="22"/>
          <w:szCs w:val="22"/>
          <w:u w:color="ff0000"/>
          <w:rtl w:val="0"/>
          <w:lang w:val="en-US"/>
        </w:rPr>
        <w:t xml:space="preserve">and safe and secure housing is critical to that goal. Habitat gives me an effective way to work with others to reach </w:t>
      </w:r>
      <w:r>
        <w:rPr>
          <w:rFonts w:ascii="Calibri" w:hAnsi="Calibri"/>
          <w:sz w:val="22"/>
          <w:szCs w:val="22"/>
          <w:u w:color="ff0000"/>
          <w:rtl w:val="0"/>
          <w:lang w:val="en-US"/>
        </w:rPr>
        <w:t xml:space="preserve">a collective </w:t>
      </w:r>
      <w:r>
        <w:rPr>
          <w:rFonts w:ascii="Calibri" w:hAnsi="Calibri"/>
          <w:sz w:val="22"/>
          <w:szCs w:val="22"/>
          <w:u w:color="ff0000"/>
          <w:rtl w:val="0"/>
          <w:lang w:val="en-US"/>
        </w:rPr>
        <w:t>aspiration where everyone has a decent place to live.</w:t>
      </w:r>
      <w:r>
        <w:rPr>
          <w:rFonts w:ascii="Calibri" w:hAnsi="Calibri" w:hint="default"/>
          <w:sz w:val="22"/>
          <w:szCs w:val="22"/>
          <w:u w:color="ff0000"/>
          <w:rtl w:val="0"/>
          <w:lang w:val="en-US"/>
        </w:rPr>
        <w:t xml:space="preserve">” </w:t>
      </w:r>
      <w:r>
        <w:rPr>
          <w:rFonts w:ascii="Calibri" w:hAnsi="Calibri"/>
          <w:sz w:val="22"/>
          <w:szCs w:val="22"/>
          <w:u w:color="ff0000"/>
          <w:rtl w:val="0"/>
          <w:lang w:val="en-US"/>
        </w:rPr>
        <w:t xml:space="preserve">As a member of the Habitat for Humanity International Board of Directors, Christiana has many opportunities to act on that passion, and her consultancy, Lovejoy Advisors allows her to work at the highest levels of corporate America, building on her career of leading and advising corporate teams at McKinsey and Nike. And why Women Build in Portland? </w:t>
      </w:r>
      <w:r>
        <w:rPr>
          <w:rFonts w:ascii="Calibri" w:hAnsi="Calibri" w:hint="default"/>
          <w:sz w:val="22"/>
          <w:szCs w:val="22"/>
          <w:u w:color="ff0000"/>
          <w:rtl w:val="0"/>
          <w:lang w:val="en-US"/>
        </w:rPr>
        <w:t>“</w:t>
      </w:r>
      <w:r>
        <w:rPr>
          <w:rFonts w:ascii="Calibri" w:hAnsi="Calibri"/>
          <w:sz w:val="22"/>
          <w:szCs w:val="22"/>
          <w:u w:color="ff0000"/>
          <w:rtl w:val="0"/>
          <w:lang w:val="en-US"/>
        </w:rPr>
        <w:t xml:space="preserve">I </w:t>
      </w:r>
      <w:r>
        <w:rPr>
          <w:rFonts w:ascii="Calibri" w:hAnsi="Calibri"/>
          <w:sz w:val="22"/>
          <w:szCs w:val="22"/>
          <w:u w:color="ff0000"/>
          <w:rtl w:val="0"/>
          <w:lang w:val="en-US"/>
        </w:rPr>
        <w:t>love being empowered and empowering other women to create affordable housing in our communit</w:t>
      </w:r>
      <w:r>
        <w:rPr>
          <w:rFonts w:ascii="Calibri" w:hAnsi="Calibri"/>
          <w:sz w:val="22"/>
          <w:szCs w:val="22"/>
          <w:u w:color="ff0000"/>
          <w:rtl w:val="0"/>
          <w:lang w:val="en-US"/>
        </w:rPr>
        <w:t>y</w:t>
      </w:r>
      <w:r>
        <w:rPr>
          <w:rFonts w:ascii="Calibri" w:hAnsi="Calibri"/>
          <w:sz w:val="22"/>
          <w:szCs w:val="22"/>
          <w:u w:color="ff0000"/>
          <w:rtl w:val="0"/>
        </w:rPr>
        <w:t xml:space="preserve">. </w:t>
      </w:r>
      <w:r>
        <w:rPr>
          <w:rFonts w:ascii="Calibri" w:hAnsi="Calibri"/>
          <w:sz w:val="22"/>
          <w:szCs w:val="22"/>
          <w:u w:color="ff0000"/>
          <w:rtl w:val="0"/>
          <w:lang w:val="en-US"/>
        </w:rPr>
        <w:t xml:space="preserve">And, </w:t>
      </w:r>
      <w:r>
        <w:rPr>
          <w:rFonts w:ascii="Calibri" w:hAnsi="Calibri"/>
          <w:sz w:val="22"/>
          <w:szCs w:val="22"/>
          <w:u w:color="ff0000"/>
          <w:rtl w:val="0"/>
          <w:lang w:val="en-US"/>
        </w:rPr>
        <w:t>I also appreciate learning home maintenance skills which I can take away and use on my own home!</w:t>
      </w:r>
      <w:r>
        <w:rPr>
          <w:rFonts w:ascii="Calibri" w:hAnsi="Calibri" w:hint="default"/>
          <w:sz w:val="22"/>
          <w:szCs w:val="22"/>
          <w:u w:color="ff0000"/>
          <w:rtl w:val="0"/>
          <w:lang w:val="en-US"/>
        </w:rPr>
        <w:t xml:space="preserve">” </w:t>
      </w:r>
      <w:r>
        <w:rPr>
          <w:rFonts w:ascii="Calibri" w:hAnsi="Calibri"/>
          <w:sz w:val="22"/>
          <w:szCs w:val="22"/>
          <w:u w:color="ff0000"/>
          <w:rtl w:val="0"/>
          <w:lang w:val="en-US"/>
        </w:rPr>
        <w:t>Thank you, Christiana, for making Women Build stronger.</w:t>
      </w:r>
      <w:r>
        <w:rPr>
          <w:rFonts w:ascii="Calibri" w:cs="Calibri" w:hAnsi="Calibri" w:eastAsia="Calibri"/>
          <w:sz w:val="22"/>
          <w:szCs w:val="22"/>
          <w:lang w:val="en-US"/>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